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0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Analize stambenih struktura za Novi Pazar, Kraljevo i Čačak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Analiza stambenih struktura gradova pruža ključne uvide u demografske, socio-ekonomske i urbanističke karakteristike lokalnih zajednica. Broj stanova, njihova distribucija po vrstama zgrada, kao i odnos prema broju stanovnika, predstavljaju važne indikator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e koji ukazuju na stanje i razvoj stambenog fonda, kvalitet života i dinamiku urbanizacije.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Analiza je izvršena na osnovu izdanja: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Broj stanova prema vrsti zgrade, godini izgradnje i spratu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koja se nalazi na stranici: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hyperlink r:id="rId11" w:tooltip="https://popis2022.stat.gov.rs/sr-latn/5-vestisaopstenja/news-events/20231228-broj-stanova-prema-vrsti-zgrade-god-izgradnje-i-spratu/?a=0&amp;s=0#:~:text=Prema podacima Popisa 2022%2C u,kolektivno stanovanje i nestambenim zgradama." w:history="1">
        <w:r>
          <w:rPr>
            <w:rStyle w:val="894"/>
            <w:rFonts w:ascii="Times New Roman" w:hAnsi="Times New Roman" w:eastAsia="Times New Roman" w:cs="Times New Roman"/>
            <w:sz w:val="24"/>
            <w:highlight w:val="none"/>
          </w:rPr>
          <w:t xml:space="preserve">https://popis2022.stat.gov.rs/sr-latn/5-vestisaopstenja/news-events/20231228-broj-stanova-prema-vrsti-zgrade-god-izgradnje-i-spratu/?a=0&amp;s=0#:~:text=Prema%20podacima%20Popisa%202022%2C%20u,kolektivno%20stanovanje%20i%20nestambenim%20zgradama.</w:t>
        </w:r>
        <w:r>
          <w:rPr>
            <w:rStyle w:val="894"/>
            <w:rFonts w:ascii="Times New Roman" w:hAnsi="Times New Roman" w:eastAsia="Times New Roman" w:cs="Times New Roman"/>
            <w:sz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Sa posebnim osvrtom na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Tabela 1 - Stanovi prema vrsti zgrade i godini izgradnje, po opštinama i gradovima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 sa detaljnim pregledom koji je dostupan na: 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hyperlink r:id="rId12" w:tooltip="https://data.stat.gov.rs/Home/Result/310404010701?languageCode=sr-Latn" w:history="1">
        <w:r>
          <w:rPr>
            <w:rStyle w:val="894"/>
            <w:rFonts w:ascii="Times New Roman" w:hAnsi="Times New Roman" w:eastAsia="Times New Roman" w:cs="Times New Roman"/>
            <w:sz w:val="24"/>
            <w:highlight w:val="none"/>
          </w:rPr>
          <w:t xml:space="preserve">https://data.stat.gov.rs/Home/Result/310404010701?languageCode=sr-Latn</w:t>
        </w:r>
        <w:r>
          <w:rPr>
            <w:rStyle w:val="894"/>
            <w:rFonts w:ascii="Times New Roman" w:hAnsi="Times New Roman" w:eastAsia="Times New Roman" w:cs="Times New Roman"/>
            <w:sz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je važna iz nekoliko razloga: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Planiranje infrastrukture i urbanističkog razvoja:</w:t>
      </w:r>
      <w:r/>
    </w:p>
    <w:p>
      <w:pPr>
        <w:pStyle w:val="916"/>
        <w:numPr>
          <w:ilvl w:val="0"/>
          <w:numId w:val="2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Razumevanje trenutne stambene strukture omogućava donošenje odluka o prioritetima u planiranju infrastrukture, kao što su transportne mreže, komunalne usluge i javni prostori.</w:t>
      </w:r>
      <w:r/>
    </w:p>
    <w:p>
      <w:pPr>
        <w:pStyle w:val="916"/>
        <w:numPr>
          <w:ilvl w:val="0"/>
          <w:numId w:val="3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Gradovi sa neravnomernim rasporedom stambenih jedinica mogu iskusiti pritisak na postojeće resurse, što zahteva preciznije planiranje.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Socio-ekonomske implikacije:</w:t>
      </w:r>
      <w:r/>
    </w:p>
    <w:p>
      <w:pPr>
        <w:pStyle w:val="916"/>
        <w:numPr>
          <w:ilvl w:val="0"/>
          <w:numId w:val="5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stanova po stanovniku i vrsta stambenih zgrada direktno utiču na kvalitet stanovanja, pristup stambenom prostoru i društvenu inkluziju.</w:t>
      </w:r>
      <w:r/>
    </w:p>
    <w:p>
      <w:pPr>
        <w:pStyle w:val="916"/>
        <w:numPr>
          <w:ilvl w:val="0"/>
          <w:numId w:val="6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pruža uvid u to kako stambeni fond odražava ekonomski položaj stanovništva i nivo urbanizacije.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stambenih politika:</w:t>
      </w:r>
      <w:r/>
    </w:p>
    <w:p>
      <w:pPr>
        <w:pStyle w:val="916"/>
        <w:numPr>
          <w:ilvl w:val="0"/>
          <w:numId w:val="8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Podaci o vrsti zgrada i njihovoj distribuciji omogućavaju definisanje ciljanih stambenih politika koje odgovaraju potrebama različitih društvenih grupa.</w:t>
      </w:r>
      <w:r/>
    </w:p>
    <w:p>
      <w:pPr>
        <w:pStyle w:val="916"/>
        <w:numPr>
          <w:ilvl w:val="0"/>
          <w:numId w:val="9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primer, gradovi sa manjim brojem višeporodičnih zgrada mogu razvijati projekte za povećanje dostupnih stambenih jedinica.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Identifikacija trendova:</w:t>
      </w:r>
      <w:r/>
    </w:p>
    <w:p>
      <w:pPr>
        <w:pStyle w:val="916"/>
        <w:numPr>
          <w:ilvl w:val="0"/>
          <w:numId w:val="11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Praćenjem trendova u gradnji i tipovima stambenih objekata prepoznaju se obrasci urbanizacije i promene u načinu života stanovništva.</w:t>
      </w:r>
      <w:r/>
    </w:p>
    <w:p>
      <w:pPr>
        <w:pStyle w:val="916"/>
        <w:numPr>
          <w:ilvl w:val="0"/>
          <w:numId w:val="12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Trendovi kao što su prelazak sa porodičnog na višeporodično stanovanje reflektuju rast urbanizacije i promenu u porodičnoj strukturi.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/>
      <w:r/>
    </w:p>
    <w:p>
      <w:pPr>
        <w:contextualSpacing w:val="0"/>
        <w:ind w:left="709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demografskim politikama:</w:t>
      </w:r>
      <w:r/>
    </w:p>
    <w:p>
      <w:pPr>
        <w:pStyle w:val="916"/>
        <w:numPr>
          <w:ilvl w:val="0"/>
          <w:numId w:val="14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Analiza odnosa broja stanova i broja stanovnika pomaže u identifikaciji područja gde je potrebna veća stambena gradnja, posebno u gradovima sa ubrzanim demografskim rastom.</w:t>
      </w:r>
      <w:r/>
    </w:p>
    <w:p>
      <w:pPr>
        <w:ind w:left="0" w:right="0" w:firstLine="0"/>
        <w:jc w:val="both"/>
        <w:spacing w:before="240" w:after="24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 kontekstu gradova poput Novog Pazara, Kraljeva i Čačka, koji se suočavaju sa različitim izazovima i stepenom urbanizacije, ova analiza pruža osnovu za oblikovanje strateških planova razvoja i unapređenje kvaliteta života. Razumevanje stambenih struktura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nije samo tehničko pitanje već i ključ za donošenje održivih i socijalno odgovarajućih odluka.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742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broj stanova i odnos prema broju stanovnika</w:t>
      </w:r>
      <w:r/>
    </w:p>
    <w:tbl>
      <w:tblPr>
        <w:tblStyle w:val="76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40"/>
        <w:gridCol w:w="1650"/>
        <w:gridCol w:w="2175"/>
        <w:gridCol w:w="270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stanovnika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stanova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Stanovi na 100 stanovnika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106.720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38.098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35,70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110.196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58.402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53,01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105.612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54.987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52,06</w:t>
            </w:r>
            <w:r/>
          </w:p>
        </w:tc>
      </w:tr>
    </w:tbl>
    <w:p>
      <w:pPr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65808" cy="3132358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024535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5065808" cy="3132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98.9pt;height:246.6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Komentari:</w:t>
      </w:r>
      <w:r/>
    </w:p>
    <w:p>
      <w:pPr>
        <w:pStyle w:val="916"/>
        <w:numPr>
          <w:ilvl w:val="0"/>
          <w:numId w:val="1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ima najniži broj stanova u odnosu na broj stanovnika (35,70 stanova na 100 stanovnika), što ukazuje na veću gustoću stanovanja i potencijalni manjak stambenih jedinica u odnosu na potrebe populacije.</w:t>
      </w:r>
      <w:r/>
    </w:p>
    <w:p>
      <w:pPr>
        <w:pStyle w:val="916"/>
        <w:numPr>
          <w:ilvl w:val="0"/>
          <w:numId w:val="1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i Čačak imaju sličan odnos broja stanova i stanovnika, sa više od 50 stanova na 100 stanovnika, što ukazuje na povoljniju stambenu situaciju u ovim gradovima.</w:t>
      </w:r>
      <w:r/>
    </w:p>
    <w:p>
      <w:pPr>
        <w:ind w:left="709" w:right="0" w:firstLine="0"/>
        <w:jc w:val="both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90690" cy="3024076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61622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4890690" cy="3024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85.1pt;height:238.1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742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Udeo vrsta zgrada u ukupnom broju stanova</w:t>
      </w:r>
      <w:r/>
    </w:p>
    <w:tbl>
      <w:tblPr>
        <w:tblStyle w:val="76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645"/>
        <w:gridCol w:w="1605"/>
        <w:gridCol w:w="1380"/>
        <w:gridCol w:w="112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Vrsta zgrade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 (%)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Stambene zgrade sa 1 stanom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65,89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61,58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Stambene zgrade sa 2 stana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10,41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10,68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Stambene zgrade sa 3 i više stanova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27,74</w:t>
            </w:r>
            <w:r/>
          </w:p>
        </w:tc>
      </w:tr>
    </w:tbl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tabelu: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Dominacija stambenih zgrada sa 1 stanom:</w:t>
      </w:r>
      <w:r/>
    </w:p>
    <w:p>
      <w:pPr>
        <w:pStyle w:val="916"/>
        <w:numPr>
          <w:ilvl w:val="0"/>
          <w:numId w:val="2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 Kraljevu (65,89%) i Čačku (61,58%), stambene zgrade sa 1 stanom čine najveći udeo, što ukazuje na pretežno porodični tip stanovanja u ovim gradovima.</w:t>
      </w:r>
      <w:r/>
    </w:p>
    <w:p>
      <w:pPr>
        <w:pStyle w:val="916"/>
        <w:numPr>
          <w:ilvl w:val="0"/>
          <w:numId w:val="2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ima manji udeo ovih zgrada (52,80%), što može biti posledica specifičnosti stambenih potreba i veće urbanizacije.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Veći udeo zgrada sa 2 stana u Novom Pazaru:</w:t>
      </w:r>
      <w:r/>
    </w:p>
    <w:p>
      <w:pPr>
        <w:pStyle w:val="916"/>
        <w:numPr>
          <w:ilvl w:val="0"/>
          <w:numId w:val="2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ima znatno veći udeo zgrada sa 2 stana (20,50%) u poređenju sa Kraljevom i Čačkom, što može biti posledica lokalne tradicije i načina gradnje.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Zgrade sa 3 i više stanova:</w:t>
      </w:r>
      <w:r/>
    </w:p>
    <w:p>
      <w:pPr>
        <w:pStyle w:val="916"/>
        <w:numPr>
          <w:ilvl w:val="0"/>
          <w:numId w:val="2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zgrada sa 3 i više stanova je najsličniji u Novom Pazaru (26,70%) i Čačku (27,74%), dok je nešto niži u Kraljevu (23,70%), što ukazuje na različite trendove urbanizacije i gradnje.</w:t>
      </w:r>
      <w:r/>
    </w:p>
    <w:p>
      <w:pPr>
        <w:pStyle w:val="742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Analiza trendova gradnje i življenja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Novi Pazar:</w:t>
      </w:r>
      <w:r/>
    </w:p>
    <w:p>
      <w:pPr>
        <w:pStyle w:val="916"/>
        <w:numPr>
          <w:ilvl w:val="0"/>
          <w:numId w:val="2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Veći udeo zgrada sa 2 stana i značajan udeo zgrada sa 3 i više stanova ukazuju na rast urbanizacije i višeporodičnog stanovanja.</w:t>
      </w:r>
      <w:r/>
    </w:p>
    <w:p>
      <w:pPr>
        <w:pStyle w:val="916"/>
        <w:numPr>
          <w:ilvl w:val="0"/>
          <w:numId w:val="2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Manji broj stanova u odnosu na broj stanovnika ukazuje na povećanu potrebu za stambenom gradnjom, posebno s obzirom na rastuću populaciju.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Kraljevo:</w:t>
      </w:r>
      <w:r/>
    </w:p>
    <w:p>
      <w:pPr>
        <w:pStyle w:val="916"/>
        <w:numPr>
          <w:ilvl w:val="0"/>
          <w:numId w:val="3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Dominacija zgrada sa 1 stanom ukazuje na pretežno porodični tip stanovanja, što je karakteristično za manje urbanizovane delove grada i prigradske sredine.</w:t>
      </w:r>
      <w:r/>
    </w:p>
    <w:p>
      <w:pPr>
        <w:pStyle w:val="916"/>
        <w:numPr>
          <w:ilvl w:val="0"/>
          <w:numId w:val="3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Stabilan odnos broja stanova i broja stanovnika ukazuje na relativnu ravnotežu između stambenih potreba i ponude.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Čačak:</w:t>
      </w:r>
      <w:r/>
    </w:p>
    <w:p>
      <w:pPr>
        <w:pStyle w:val="916"/>
        <w:numPr>
          <w:ilvl w:val="0"/>
          <w:numId w:val="3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Sličan trend kao u Kraljevu, ali sa nešto većim udelom zgrada sa 3 i više stanova, što ukazuje na blagu urbanizaciju.</w:t>
      </w:r>
      <w:r/>
    </w:p>
    <w:p>
      <w:pPr>
        <w:pStyle w:val="916"/>
        <w:numPr>
          <w:ilvl w:val="0"/>
          <w:numId w:val="3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Relativno povoljan odnos broja stanova i broja stanovnika govori o zadovoljenju stambenih potreba većeg dela populacije.</w:t>
      </w:r>
      <w:r/>
    </w:p>
    <w:p>
      <w:pPr>
        <w:pStyle w:val="742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Zaključci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Regionalne razlike:</w:t>
      </w:r>
      <w:r/>
    </w:p>
    <w:p>
      <w:pPr>
        <w:pStyle w:val="916"/>
        <w:numPr>
          <w:ilvl w:val="0"/>
          <w:numId w:val="3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se izdvaja sa manjim brojem stanova u odnosu na broj stanovnika, što ukazuje na izazove u obezbeđivanju adekvatnog stambenog prostora.</w:t>
      </w:r>
      <w:r/>
    </w:p>
    <w:p>
      <w:pPr>
        <w:pStyle w:val="916"/>
        <w:numPr>
          <w:ilvl w:val="0"/>
          <w:numId w:val="3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i Čačak imaju slične karakteristike stambenog fonda, sa dominacijom stambenih zgrada sa 1 stanom.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Urbanizacija:</w:t>
      </w:r>
      <w:r/>
    </w:p>
    <w:p>
      <w:pPr>
        <w:pStyle w:val="916"/>
        <w:numPr>
          <w:ilvl w:val="0"/>
          <w:numId w:val="3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i Čačak pokazuju viši stepen urbanizacije sa značajnijim udelom zgrada sa 3 i više stanova.</w:t>
      </w:r>
      <w:r/>
    </w:p>
    <w:p>
      <w:pPr>
        <w:pStyle w:val="916"/>
        <w:numPr>
          <w:ilvl w:val="0"/>
          <w:numId w:val="4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ima izrazito porodični tip stanovanja sa dominantnim udelom zgrada sa 1 stanom.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Potencijali i izazovi:</w:t>
      </w:r>
      <w:r/>
    </w:p>
    <w:p>
      <w:pPr>
        <w:pStyle w:val="916"/>
        <w:numPr>
          <w:ilvl w:val="0"/>
          <w:numId w:val="4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Pazar: Fokus na povećanje stambenog fonda i izgradnju višestambenih zgrada kako bi se zadovoljile rastuće stambene potrebe.</w:t>
      </w:r>
      <w:r/>
    </w:p>
    <w:p>
      <w:pPr>
        <w:pStyle w:val="916"/>
        <w:numPr>
          <w:ilvl w:val="0"/>
          <w:numId w:val="4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i Čačak: Održavanje ravnoteže između urbanizacije i očuvanja porodičnog tipa stanovanja.</w:t>
      </w:r>
      <w:r/>
    </w:p>
    <w:p>
      <w:pPr>
        <w:pStyle w:val="740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Preporuke za unapređenje stambenih politika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Novi Pazar:</w:t>
      </w:r>
      <w:r/>
    </w:p>
    <w:p>
      <w:pPr>
        <w:pStyle w:val="916"/>
        <w:numPr>
          <w:ilvl w:val="0"/>
          <w:numId w:val="4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Planirati izgradnju višeporodičnih zgrada kako bi se zadovoljile potrebe rastuće populacije.</w:t>
      </w:r>
      <w:r/>
    </w:p>
    <w:p>
      <w:pPr>
        <w:pStyle w:val="916"/>
        <w:numPr>
          <w:ilvl w:val="0"/>
          <w:numId w:val="4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Podsticati razvoj infrastrukture i urbanističkog plana za proširenje gradskih zona.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Kraljevo i Čačak:</w:t>
      </w:r>
      <w:r/>
    </w:p>
    <w:p>
      <w:pPr>
        <w:pStyle w:val="916"/>
        <w:numPr>
          <w:ilvl w:val="0"/>
          <w:numId w:val="4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Nastaviti sa očuvanjem porodičnog tipa stanovanja uz razvoj urbanih zona.</w:t>
      </w:r>
      <w:r/>
    </w:p>
    <w:p>
      <w:pPr>
        <w:pStyle w:val="916"/>
        <w:numPr>
          <w:ilvl w:val="0"/>
          <w:numId w:val="4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Promovisati energetski efikasne i održive stambene projekte u višeporodičnim zgradama.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pruža osnovu za razumevanje stambenih potreba i urbanističkih izazova u ova tri grada.</w:t>
      </w:r>
      <w:r/>
    </w:p>
    <w:p>
      <w:pPr>
        <w:jc w:val="both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right"/>
    </w:pPr>
    <w:fldSimple w:instr="PAGE \* MERGEFORMAT">
      <w:r>
        <w:t xml:space="preserve">1</w:t>
      </w:r>
    </w:fldSimple>
    <w:r/>
    <w:r/>
  </w:p>
  <w:p>
    <w:pPr>
      <w:pStyle w:val="76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796940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3" cy="176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625504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2"/>
    <w:next w:val="912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2"/>
    <w:next w:val="912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2"/>
    <w:next w:val="912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basedOn w:val="9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8">
    <w:name w:val="List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9">
    <w:name w:val="List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0">
    <w:name w:val="List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1">
    <w:name w:val="List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2">
    <w:name w:val="List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3">
    <w:name w:val="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 &amp; 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2">
    <w:name w:val="Bordered &amp; 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3">
    <w:name w:val="Bordered &amp; 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4">
    <w:name w:val="Bordered &amp; 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5">
    <w:name w:val="Bordered &amp; 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6">
    <w:name w:val="Bordered &amp; 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7">
    <w:name w:val="Bordered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qFormat/>
  </w:style>
  <w:style w:type="table" w:styleId="9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4" w:default="1">
    <w:name w:val="No List"/>
    <w:uiPriority w:val="99"/>
    <w:semiHidden/>
    <w:unhideWhenUsed/>
  </w:style>
  <w:style w:type="paragraph" w:styleId="915">
    <w:name w:val="No Spacing"/>
    <w:basedOn w:val="912"/>
    <w:uiPriority w:val="1"/>
    <w:qFormat/>
    <w:pPr>
      <w:spacing w:after="0" w:line="240" w:lineRule="auto"/>
    </w:pPr>
  </w:style>
  <w:style w:type="paragraph" w:styleId="916">
    <w:name w:val="List Paragraph"/>
    <w:basedOn w:val="912"/>
    <w:uiPriority w:val="34"/>
    <w:qFormat/>
    <w:pPr>
      <w:contextualSpacing/>
      <w:ind w:left="720"/>
    </w:pPr>
  </w:style>
  <w:style w:type="character" w:styleId="9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popis2022.stat.gov.rs/sr-latn/5-vestisaopstenja/news-events/20231228-broj-stanova-prema-vrsti-zgrade-god-izgradnje-i-spratu/?a=0&amp;s=0#:~:text=Prema podacima Popisa 2022%2C u,kolektivno stanovanje i nestambenim zgradama." TargetMode="External"/><Relationship Id="rId12" Type="http://schemas.openxmlformats.org/officeDocument/2006/relationships/hyperlink" Target="https://data.stat.gov.rs/Home/Result/310404010701?languageCode=sr-Latn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2025-01-16T18:13:03Z</dcterms:modified>
</cp:coreProperties>
</file>